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99" w:rsidRPr="00B86923" w:rsidRDefault="00B9216C">
      <w:pPr>
        <w:rPr>
          <w:sz w:val="36"/>
          <w:szCs w:val="36"/>
        </w:rPr>
      </w:pPr>
      <w:r>
        <w:rPr>
          <w:sz w:val="36"/>
          <w:szCs w:val="36"/>
        </w:rPr>
        <w:t xml:space="preserve">Employment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E729D8">
        <w:rPr>
          <w:sz w:val="36"/>
          <w:szCs w:val="36"/>
        </w:rPr>
        <w:tab/>
      </w:r>
      <w:r w:rsidR="00F34169">
        <w:rPr>
          <w:sz w:val="24"/>
          <w:szCs w:val="24"/>
        </w:rPr>
        <w:t>Updated: 4/21</w:t>
      </w:r>
      <w:bookmarkStart w:id="0" w:name="_GoBack"/>
      <w:bookmarkEnd w:id="0"/>
      <w:r w:rsidR="00E729D8" w:rsidRPr="00E729D8">
        <w:rPr>
          <w:sz w:val="24"/>
          <w:szCs w:val="24"/>
        </w:rPr>
        <w:t>/15</w:t>
      </w:r>
    </w:p>
    <w:p w:rsidR="00B86923" w:rsidRDefault="00B86923" w:rsidP="00B76AC6">
      <w:pPr>
        <w:spacing w:after="0" w:line="240" w:lineRule="auto"/>
        <w:ind w:left="1350" w:right="-446" w:hanging="1350"/>
      </w:pPr>
      <w:r w:rsidRPr="00B86923">
        <w:t>Goal State</w:t>
      </w:r>
      <w:r w:rsidR="00B76AC6">
        <w:t>men</w:t>
      </w:r>
      <w:r w:rsidR="00B9216C">
        <w:t>t:  Increase employment opportunities fo</w:t>
      </w:r>
      <w:r w:rsidR="000E7E22">
        <w:t>r individuals with disabilities in Greenville County.</w:t>
      </w:r>
    </w:p>
    <w:p w:rsidR="00B86923" w:rsidRDefault="00B86923" w:rsidP="00B86923">
      <w:pPr>
        <w:spacing w:after="0" w:line="240" w:lineRule="auto"/>
        <w:ind w:left="1350" w:right="-446" w:hanging="1350"/>
      </w:pPr>
    </w:p>
    <w:p w:rsidR="00B86923" w:rsidRPr="00B86923" w:rsidRDefault="00B86923" w:rsidP="00B86923">
      <w:pPr>
        <w:spacing w:after="0" w:line="240" w:lineRule="auto"/>
        <w:ind w:left="1350" w:right="-446" w:hanging="1350"/>
        <w:rPr>
          <w:b/>
        </w:rPr>
      </w:pPr>
      <w:r w:rsidRPr="00B86923">
        <w:rPr>
          <w:b/>
        </w:rPr>
        <w:t xml:space="preserve">Priority Objective #1:  </w:t>
      </w:r>
    </w:p>
    <w:p w:rsidR="00B86923" w:rsidRPr="00B86923" w:rsidRDefault="00B9216C" w:rsidP="00B86923">
      <w:pPr>
        <w:spacing w:after="0" w:line="240" w:lineRule="auto"/>
        <w:ind w:left="1350" w:right="-446" w:hanging="1350"/>
      </w:pPr>
      <w:r>
        <w:rPr>
          <w:sz w:val="20"/>
          <w:szCs w:val="20"/>
        </w:rPr>
        <w:t xml:space="preserve">Identify </w:t>
      </w:r>
      <w:r w:rsidR="00010563">
        <w:rPr>
          <w:sz w:val="20"/>
          <w:szCs w:val="20"/>
        </w:rPr>
        <w:t xml:space="preserve">employers who </w:t>
      </w:r>
      <w:r>
        <w:rPr>
          <w:sz w:val="20"/>
          <w:szCs w:val="20"/>
        </w:rPr>
        <w:t>current</w:t>
      </w:r>
      <w:r w:rsidR="00010563">
        <w:rPr>
          <w:sz w:val="20"/>
          <w:szCs w:val="20"/>
        </w:rPr>
        <w:t xml:space="preserve">ly employ </w:t>
      </w:r>
      <w:r>
        <w:rPr>
          <w:sz w:val="20"/>
          <w:szCs w:val="20"/>
        </w:rPr>
        <w:t>individuals with disabilities in Greenville County</w:t>
      </w:r>
      <w:r w:rsidR="00010563">
        <w:rPr>
          <w:sz w:val="20"/>
          <w:szCs w:val="20"/>
        </w:rPr>
        <w:t>.</w:t>
      </w:r>
    </w:p>
    <w:p w:rsidR="00B86923" w:rsidRDefault="00B8692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610"/>
        <w:gridCol w:w="2245"/>
      </w:tblGrid>
      <w:tr w:rsidR="00B86923" w:rsidTr="00B86923">
        <w:tc>
          <w:tcPr>
            <w:tcW w:w="9535" w:type="dxa"/>
          </w:tcPr>
          <w:p w:rsidR="00B86923" w:rsidRPr="00B86923" w:rsidRDefault="00B86923">
            <w:r w:rsidRPr="00B86923">
              <w:t>Action Steps / Task</w:t>
            </w:r>
          </w:p>
        </w:tc>
        <w:tc>
          <w:tcPr>
            <w:tcW w:w="2610" w:type="dxa"/>
          </w:tcPr>
          <w:p w:rsidR="00B86923" w:rsidRPr="00B86923" w:rsidRDefault="00B86923">
            <w:r w:rsidRPr="00B86923">
              <w:t>Timeline</w:t>
            </w:r>
          </w:p>
        </w:tc>
        <w:tc>
          <w:tcPr>
            <w:tcW w:w="2245" w:type="dxa"/>
          </w:tcPr>
          <w:p w:rsidR="00B86923" w:rsidRPr="00B86923" w:rsidRDefault="00B86923">
            <w:r w:rsidRPr="00B86923">
              <w:t>Who</w:t>
            </w:r>
          </w:p>
        </w:tc>
      </w:tr>
      <w:tr w:rsidR="00B86923" w:rsidTr="00B86923">
        <w:tc>
          <w:tcPr>
            <w:tcW w:w="9535" w:type="dxa"/>
          </w:tcPr>
          <w:p w:rsidR="00B76AC6" w:rsidRPr="00B76AC6" w:rsidRDefault="00010563" w:rsidP="00B76AC6">
            <w:pPr>
              <w:pStyle w:val="ListParagraph"/>
              <w:numPr>
                <w:ilvl w:val="0"/>
                <w:numId w:val="7"/>
              </w:numPr>
            </w:pPr>
            <w:r>
              <w:t>Send out an employment survey to Greenville CAN network.</w:t>
            </w:r>
          </w:p>
          <w:p w:rsidR="00B76AC6" w:rsidRPr="00B76AC6" w:rsidRDefault="00B76AC6" w:rsidP="00B76AC6">
            <w:pPr>
              <w:pStyle w:val="ListParagraph"/>
              <w:ind w:left="360"/>
            </w:pPr>
          </w:p>
          <w:p w:rsidR="00B76AC6" w:rsidRDefault="00010563" w:rsidP="00B76AC6">
            <w:pPr>
              <w:pStyle w:val="ListParagraph"/>
              <w:numPr>
                <w:ilvl w:val="0"/>
                <w:numId w:val="7"/>
              </w:numPr>
            </w:pPr>
            <w:r>
              <w:t>Work with disability employment service providers in Greenville County to develop a shared list of employers with history of hiring individuals with disabilities.</w:t>
            </w:r>
          </w:p>
          <w:p w:rsidR="00010563" w:rsidRDefault="00010563" w:rsidP="00010563">
            <w:pPr>
              <w:pStyle w:val="ListParagraph"/>
            </w:pPr>
          </w:p>
          <w:p w:rsidR="00010563" w:rsidRPr="00B76AC6" w:rsidRDefault="00010563" w:rsidP="00010563">
            <w:pPr>
              <w:pStyle w:val="ListParagraph"/>
              <w:ind w:left="360"/>
            </w:pPr>
          </w:p>
          <w:p w:rsidR="00B86923" w:rsidRPr="00B76AC6" w:rsidRDefault="00B86923" w:rsidP="00B76AC6"/>
        </w:tc>
        <w:tc>
          <w:tcPr>
            <w:tcW w:w="2610" w:type="dxa"/>
          </w:tcPr>
          <w:p w:rsidR="00B86923" w:rsidRDefault="00010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Done</w:t>
            </w:r>
          </w:p>
        </w:tc>
        <w:tc>
          <w:tcPr>
            <w:tcW w:w="2245" w:type="dxa"/>
          </w:tcPr>
          <w:p w:rsidR="00B86923" w:rsidRDefault="00B86923">
            <w:pPr>
              <w:rPr>
                <w:sz w:val="24"/>
                <w:szCs w:val="24"/>
              </w:rPr>
            </w:pPr>
          </w:p>
        </w:tc>
      </w:tr>
    </w:tbl>
    <w:p w:rsidR="00B86923" w:rsidRDefault="00B86923">
      <w:pPr>
        <w:rPr>
          <w:sz w:val="24"/>
          <w:szCs w:val="24"/>
        </w:rPr>
      </w:pPr>
    </w:p>
    <w:p w:rsidR="00B86923" w:rsidRDefault="00B86923">
      <w:r w:rsidRPr="00B86923">
        <w:rPr>
          <w:b/>
        </w:rPr>
        <w:t>Priority Objective #2</w:t>
      </w:r>
      <w:proofErr w:type="gramStart"/>
      <w:r w:rsidRPr="00B86923">
        <w:rPr>
          <w:b/>
        </w:rPr>
        <w:t>:</w:t>
      </w:r>
      <w:proofErr w:type="gramEnd"/>
      <w:r w:rsidR="00010563">
        <w:br/>
        <w:t>Make it easier for employers and job seekers to navigate and access the vast array of employment services available in Greenville County.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B86923" w:rsidTr="00FA1B76">
        <w:tc>
          <w:tcPr>
            <w:tcW w:w="9535" w:type="dxa"/>
          </w:tcPr>
          <w:p w:rsidR="00B86923" w:rsidRDefault="00B86923">
            <w:r>
              <w:t>Action Steps / Tasks</w:t>
            </w:r>
          </w:p>
        </w:tc>
        <w:tc>
          <w:tcPr>
            <w:tcW w:w="2700" w:type="dxa"/>
          </w:tcPr>
          <w:p w:rsidR="00B86923" w:rsidRDefault="00B86923">
            <w:r>
              <w:t>Timeline</w:t>
            </w:r>
          </w:p>
        </w:tc>
        <w:tc>
          <w:tcPr>
            <w:tcW w:w="2155" w:type="dxa"/>
          </w:tcPr>
          <w:p w:rsidR="00B86923" w:rsidRDefault="00B86923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B76AC6" w:rsidRPr="00010563" w:rsidRDefault="00010563" w:rsidP="00010563">
            <w:pPr>
              <w:pStyle w:val="ListParagraph"/>
              <w:numPr>
                <w:ilvl w:val="0"/>
                <w:numId w:val="8"/>
              </w:numPr>
            </w:pPr>
            <w:r>
              <w:t xml:space="preserve">Develop and distribute a document that gives an overview of each employment service provider in Greenville </w:t>
            </w:r>
            <w:proofErr w:type="gramStart"/>
            <w:r>
              <w:t>County</w:t>
            </w:r>
            <w:proofErr w:type="gramEnd"/>
            <w:r>
              <w:t xml:space="preserve"> including:  SC </w:t>
            </w:r>
            <w:proofErr w:type="spellStart"/>
            <w:r>
              <w:t>Voc</w:t>
            </w:r>
            <w:proofErr w:type="spellEnd"/>
            <w:r>
              <w:t xml:space="preserve"> Rehab, GCDSNB, Greenville Works, Goodwill, and ABLE SC.</w:t>
            </w:r>
          </w:p>
          <w:p w:rsidR="00B76AC6" w:rsidRPr="00B76AC6" w:rsidRDefault="00B76AC6" w:rsidP="00B76AC6">
            <w:pPr>
              <w:pStyle w:val="ListParagraph"/>
              <w:ind w:left="360"/>
            </w:pPr>
          </w:p>
          <w:p w:rsidR="00B76AC6" w:rsidRDefault="00010563" w:rsidP="00010563">
            <w:pPr>
              <w:pStyle w:val="ListParagraph"/>
              <w:numPr>
                <w:ilvl w:val="0"/>
                <w:numId w:val="8"/>
              </w:numPr>
            </w:pPr>
            <w:r>
              <w:t>Identify gaps and duplication in employment services in Grenville County</w:t>
            </w:r>
            <w:r w:rsidR="000E7E22">
              <w:t>.</w:t>
            </w:r>
          </w:p>
          <w:p w:rsidR="00010563" w:rsidRDefault="00010563" w:rsidP="00010563">
            <w:pPr>
              <w:pStyle w:val="ListParagraph"/>
            </w:pPr>
          </w:p>
          <w:p w:rsidR="00010563" w:rsidRPr="00010563" w:rsidRDefault="0050100A" w:rsidP="0050100A">
            <w:pPr>
              <w:pStyle w:val="ListParagraph"/>
              <w:ind w:left="360"/>
            </w:pPr>
            <w:r>
              <w:t>-Employment services providers meeting</w:t>
            </w:r>
          </w:p>
          <w:p w:rsidR="00B76AC6" w:rsidRPr="00B76AC6" w:rsidRDefault="00B76AC6" w:rsidP="00B76AC6">
            <w:pPr>
              <w:pStyle w:val="ListParagraph"/>
              <w:ind w:left="360"/>
            </w:pPr>
          </w:p>
          <w:p w:rsidR="00B76AC6" w:rsidRPr="00B76AC6" w:rsidRDefault="0050100A" w:rsidP="00B76AC6">
            <w:pPr>
              <w:pStyle w:val="ListParagraph"/>
              <w:numPr>
                <w:ilvl w:val="0"/>
                <w:numId w:val="8"/>
              </w:numPr>
            </w:pPr>
            <w:r>
              <w:t>Develop</w:t>
            </w:r>
            <w:r w:rsidR="000E7E22">
              <w:t xml:space="preserve"> and implement</w:t>
            </w:r>
            <w:r>
              <w:t xml:space="preserve"> plan to reduce duplication of services and fill in gaps of service.</w:t>
            </w:r>
          </w:p>
          <w:p w:rsidR="00FA1B76" w:rsidRDefault="00FA1B76" w:rsidP="00FA1B76"/>
        </w:tc>
        <w:tc>
          <w:tcPr>
            <w:tcW w:w="2700" w:type="dxa"/>
          </w:tcPr>
          <w:p w:rsidR="00FA1B76" w:rsidRDefault="00FA1B7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>
            <w:r>
              <w:t>In progress</w:t>
            </w:r>
          </w:p>
        </w:tc>
        <w:tc>
          <w:tcPr>
            <w:tcW w:w="2155" w:type="dxa"/>
          </w:tcPr>
          <w:p w:rsidR="00FA1B76" w:rsidRDefault="00FA1B7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>
            <w:r>
              <w:t>Mike T.</w:t>
            </w:r>
          </w:p>
        </w:tc>
      </w:tr>
    </w:tbl>
    <w:p w:rsidR="00FA1B76" w:rsidRDefault="00FA1B76"/>
    <w:p w:rsidR="00FA1B76" w:rsidRDefault="00FA1B76">
      <w:r w:rsidRPr="00FA1B76">
        <w:rPr>
          <w:b/>
        </w:rPr>
        <w:t>Priority Objective #3</w:t>
      </w:r>
      <w:r w:rsidR="0050100A">
        <w:br/>
        <w:t xml:space="preserve">Promote a business culture that understands and values the importance of individuals with disabilities in the workplace.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700"/>
        <w:gridCol w:w="2155"/>
      </w:tblGrid>
      <w:tr w:rsidR="00FA1B76" w:rsidTr="00FA1B76">
        <w:tc>
          <w:tcPr>
            <w:tcW w:w="9535" w:type="dxa"/>
          </w:tcPr>
          <w:p w:rsidR="00FA1B76" w:rsidRDefault="00FA1B76">
            <w:r>
              <w:t>Action Steps / Tasks</w:t>
            </w:r>
          </w:p>
        </w:tc>
        <w:tc>
          <w:tcPr>
            <w:tcW w:w="2700" w:type="dxa"/>
          </w:tcPr>
          <w:p w:rsidR="00FA1B76" w:rsidRDefault="00FA1B76">
            <w:r>
              <w:t>Timeline</w:t>
            </w:r>
          </w:p>
        </w:tc>
        <w:tc>
          <w:tcPr>
            <w:tcW w:w="2155" w:type="dxa"/>
          </w:tcPr>
          <w:p w:rsidR="00FA1B76" w:rsidRDefault="00FA1B76">
            <w:r>
              <w:t>Who</w:t>
            </w:r>
          </w:p>
        </w:tc>
      </w:tr>
      <w:tr w:rsidR="00FA1B76" w:rsidTr="00FA1B76">
        <w:tc>
          <w:tcPr>
            <w:tcW w:w="9535" w:type="dxa"/>
          </w:tcPr>
          <w:p w:rsidR="00B76AC6" w:rsidRDefault="0050100A" w:rsidP="00B76AC6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Collect and share success stories</w:t>
            </w: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</w:p>
          <w:p w:rsidR="0050100A" w:rsidRDefault="0050100A" w:rsidP="0050100A">
            <w:pPr>
              <w:pStyle w:val="ListParagraph"/>
              <w:spacing w:after="200" w:line="276" w:lineRule="auto"/>
              <w:ind w:left="360"/>
            </w:pPr>
            <w:r>
              <w:t>-Utilize Walgreens Distribution Center</w:t>
            </w:r>
          </w:p>
          <w:p w:rsidR="000E7E22" w:rsidRDefault="000E7E22" w:rsidP="0050100A">
            <w:pPr>
              <w:pStyle w:val="ListParagraph"/>
              <w:spacing w:after="200" w:line="276" w:lineRule="auto"/>
              <w:ind w:left="360"/>
            </w:pPr>
          </w:p>
          <w:p w:rsidR="000E7E22" w:rsidRDefault="000E7E22" w:rsidP="000E7E22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 xml:space="preserve">Promote hiring individuals with disabilities from a </w:t>
            </w:r>
            <w:r w:rsidRPr="00CF0606">
              <w:rPr>
                <w:b/>
              </w:rPr>
              <w:t>workforce development</w:t>
            </w:r>
            <w:r>
              <w:t xml:space="preserve"> perspective instead of a charitable or a “right thing to do” perspective.</w:t>
            </w: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  <w:r>
              <w:t xml:space="preserve"> </w:t>
            </w:r>
          </w:p>
          <w:p w:rsidR="00B76AC6" w:rsidRDefault="0050100A" w:rsidP="0050100A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Celebrate businesses that go above and beyond ADA employment guidelines regarding hiring individuals with disabilities.</w:t>
            </w:r>
          </w:p>
          <w:p w:rsidR="0050100A" w:rsidRDefault="0050100A" w:rsidP="0050100A">
            <w:pPr>
              <w:pStyle w:val="ListParagraph"/>
              <w:spacing w:after="200" w:line="276" w:lineRule="auto"/>
              <w:ind w:left="360"/>
            </w:pPr>
          </w:p>
          <w:p w:rsidR="0050100A" w:rsidRDefault="0050100A" w:rsidP="0050100A">
            <w:pPr>
              <w:pStyle w:val="ListParagraph"/>
              <w:spacing w:after="200" w:line="276" w:lineRule="auto"/>
              <w:ind w:left="360"/>
            </w:pPr>
            <w:r>
              <w:t>-Try to get Greenville Chamber of Commerce to add this to their Annual Meeting awards.</w:t>
            </w:r>
          </w:p>
          <w:p w:rsidR="0050100A" w:rsidRDefault="0050100A" w:rsidP="0050100A">
            <w:pPr>
              <w:pStyle w:val="ListParagraph"/>
              <w:spacing w:after="200" w:line="276" w:lineRule="auto"/>
              <w:ind w:left="360"/>
            </w:pPr>
          </w:p>
          <w:p w:rsidR="0050100A" w:rsidRDefault="0050100A" w:rsidP="0050100A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 xml:space="preserve">Offer trainings and workshops to dispel myths, educate about the law, </w:t>
            </w:r>
            <w:r w:rsidR="000E7E22">
              <w:t>and increase disability awareness.</w:t>
            </w: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</w:p>
          <w:p w:rsidR="000E7E22" w:rsidRDefault="000E7E22" w:rsidP="000E7E22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Build a relationship with GSHRM (Greenville Society of Human Resource Managers</w:t>
            </w:r>
            <w:r w:rsidR="00CF0606">
              <w:t>.)</w:t>
            </w:r>
            <w:r>
              <w:br/>
            </w:r>
          </w:p>
          <w:p w:rsidR="000E7E22" w:rsidRDefault="000E7E22" w:rsidP="0050100A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Bring Business Leadership Network to Greenville.</w:t>
            </w: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</w:p>
          <w:p w:rsidR="000E7E22" w:rsidRDefault="000E7E22" w:rsidP="000E7E22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Identify “Corporate CEO Champions” who have a connection / passion for individuals with disabilities.</w:t>
            </w:r>
            <w:r>
              <w:br/>
            </w:r>
          </w:p>
          <w:p w:rsidR="000E7E22" w:rsidRDefault="000E7E22" w:rsidP="0050100A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>
              <w:t>Host an event featuring Randy Lewis from Walgreens as the speaker.</w:t>
            </w: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</w:p>
          <w:p w:rsidR="000E7E22" w:rsidRDefault="000E7E22" w:rsidP="000E7E22">
            <w:pPr>
              <w:pStyle w:val="ListParagraph"/>
              <w:spacing w:after="200" w:line="276" w:lineRule="auto"/>
              <w:ind w:left="360"/>
            </w:pPr>
          </w:p>
          <w:p w:rsidR="000E7E22" w:rsidRPr="00B76AC6" w:rsidRDefault="000E7E22" w:rsidP="000E7E22">
            <w:pPr>
              <w:spacing w:after="200" w:line="276" w:lineRule="auto"/>
            </w:pPr>
          </w:p>
          <w:p w:rsidR="00FA1B76" w:rsidRPr="00B76AC6" w:rsidRDefault="00FA1B76" w:rsidP="00B76AC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A1B76" w:rsidRDefault="00FA1B7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>
            <w:r>
              <w:t>In progress</w:t>
            </w:r>
          </w:p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</w:tc>
        <w:tc>
          <w:tcPr>
            <w:tcW w:w="2155" w:type="dxa"/>
          </w:tcPr>
          <w:p w:rsidR="00FA1B76" w:rsidRDefault="00FA1B7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>
            <w:r>
              <w:t>Paula</w:t>
            </w:r>
          </w:p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/>
          <w:p w:rsidR="00CF0606" w:rsidRDefault="00CF0606" w:rsidP="00FA1B76">
            <w:r>
              <w:t>Mike T.</w:t>
            </w:r>
          </w:p>
          <w:p w:rsidR="00CF0606" w:rsidRDefault="00CF0606" w:rsidP="00FA1B76"/>
          <w:p w:rsidR="00CF0606" w:rsidRDefault="00CF0606" w:rsidP="00FA1B76"/>
        </w:tc>
      </w:tr>
    </w:tbl>
    <w:p w:rsidR="00FA1B76" w:rsidRDefault="00FA1B76"/>
    <w:p w:rsidR="00FA1B76" w:rsidRDefault="00FA1B76"/>
    <w:p w:rsidR="00932943" w:rsidRDefault="00932943"/>
    <w:sectPr w:rsidR="00932943" w:rsidSect="00B869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9EC"/>
    <w:multiLevelType w:val="hybridMultilevel"/>
    <w:tmpl w:val="54A240A4"/>
    <w:lvl w:ilvl="0" w:tplc="3FF289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5CA"/>
    <w:multiLevelType w:val="hybridMultilevel"/>
    <w:tmpl w:val="9886C8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F7F89"/>
    <w:multiLevelType w:val="hybridMultilevel"/>
    <w:tmpl w:val="360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5D9D"/>
    <w:multiLevelType w:val="hybridMultilevel"/>
    <w:tmpl w:val="12140370"/>
    <w:lvl w:ilvl="0" w:tplc="6D6AF280">
      <w:start w:val="3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  <w:color w:val="auto"/>
      </w:rPr>
    </w:lvl>
    <w:lvl w:ilvl="1" w:tplc="6D6AF280">
      <w:start w:val="3"/>
      <w:numFmt w:val="bullet"/>
      <w:lvlText w:val="-"/>
      <w:lvlJc w:val="left"/>
      <w:pPr>
        <w:ind w:left="180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8E65CD"/>
    <w:multiLevelType w:val="hybridMultilevel"/>
    <w:tmpl w:val="80D84A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3471C"/>
    <w:multiLevelType w:val="hybridMultilevel"/>
    <w:tmpl w:val="D132E768"/>
    <w:lvl w:ilvl="0" w:tplc="0CDCB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3438"/>
    <w:multiLevelType w:val="hybridMultilevel"/>
    <w:tmpl w:val="5C0A3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45075C"/>
    <w:multiLevelType w:val="hybridMultilevel"/>
    <w:tmpl w:val="23862B4E"/>
    <w:lvl w:ilvl="0" w:tplc="75BC4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6AF280">
      <w:start w:val="3"/>
      <w:numFmt w:val="bullet"/>
      <w:lvlText w:val="-"/>
      <w:lvlJc w:val="left"/>
      <w:pPr>
        <w:ind w:left="108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801BA8"/>
    <w:multiLevelType w:val="hybridMultilevel"/>
    <w:tmpl w:val="42D8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57E94"/>
    <w:multiLevelType w:val="hybridMultilevel"/>
    <w:tmpl w:val="2362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A7334"/>
    <w:multiLevelType w:val="hybridMultilevel"/>
    <w:tmpl w:val="DD2A570E"/>
    <w:lvl w:ilvl="0" w:tplc="0AFCE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F09E2"/>
    <w:multiLevelType w:val="hybridMultilevel"/>
    <w:tmpl w:val="9494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812F9"/>
    <w:multiLevelType w:val="hybridMultilevel"/>
    <w:tmpl w:val="1AAA6EAE"/>
    <w:lvl w:ilvl="0" w:tplc="6D6AF280">
      <w:start w:val="3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  <w:color w:val="auto"/>
      </w:rPr>
    </w:lvl>
    <w:lvl w:ilvl="1" w:tplc="6D6AF280">
      <w:start w:val="3"/>
      <w:numFmt w:val="bullet"/>
      <w:lvlText w:val="-"/>
      <w:lvlJc w:val="left"/>
      <w:pPr>
        <w:ind w:left="1800" w:hanging="360"/>
      </w:pPr>
      <w:rPr>
        <w:rFonts w:ascii="Rockwell" w:eastAsiaTheme="minorEastAsia" w:hAnsi="Rockwel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3"/>
    <w:rsid w:val="00010563"/>
    <w:rsid w:val="000B3DE9"/>
    <w:rsid w:val="000E6763"/>
    <w:rsid w:val="000E7E22"/>
    <w:rsid w:val="00100DFD"/>
    <w:rsid w:val="00196E1B"/>
    <w:rsid w:val="001F163C"/>
    <w:rsid w:val="002116BC"/>
    <w:rsid w:val="00277605"/>
    <w:rsid w:val="00281468"/>
    <w:rsid w:val="00352141"/>
    <w:rsid w:val="003E6F3B"/>
    <w:rsid w:val="00446CE4"/>
    <w:rsid w:val="004A5D99"/>
    <w:rsid w:val="004C2894"/>
    <w:rsid w:val="0050100A"/>
    <w:rsid w:val="005947C8"/>
    <w:rsid w:val="00640E6C"/>
    <w:rsid w:val="00680316"/>
    <w:rsid w:val="006C1B50"/>
    <w:rsid w:val="006C77C7"/>
    <w:rsid w:val="006E3433"/>
    <w:rsid w:val="00795A5A"/>
    <w:rsid w:val="007C704A"/>
    <w:rsid w:val="0082383A"/>
    <w:rsid w:val="008735ED"/>
    <w:rsid w:val="00932943"/>
    <w:rsid w:val="00932DE8"/>
    <w:rsid w:val="009522C6"/>
    <w:rsid w:val="00993A77"/>
    <w:rsid w:val="009D40CD"/>
    <w:rsid w:val="009D6D62"/>
    <w:rsid w:val="00A72E20"/>
    <w:rsid w:val="00A862AB"/>
    <w:rsid w:val="00B27E17"/>
    <w:rsid w:val="00B76AC6"/>
    <w:rsid w:val="00B80B27"/>
    <w:rsid w:val="00B86923"/>
    <w:rsid w:val="00B9216C"/>
    <w:rsid w:val="00BD3378"/>
    <w:rsid w:val="00BD4AE8"/>
    <w:rsid w:val="00CD1119"/>
    <w:rsid w:val="00CD1E80"/>
    <w:rsid w:val="00CD3D00"/>
    <w:rsid w:val="00CF0606"/>
    <w:rsid w:val="00D46527"/>
    <w:rsid w:val="00D9347D"/>
    <w:rsid w:val="00D96FCA"/>
    <w:rsid w:val="00DD3352"/>
    <w:rsid w:val="00E729D8"/>
    <w:rsid w:val="00F0726B"/>
    <w:rsid w:val="00F23219"/>
    <w:rsid w:val="00F34169"/>
    <w:rsid w:val="00F51B30"/>
    <w:rsid w:val="00F63766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8EFB-74C5-46D7-82C4-3F9B45D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Teachey</dc:creator>
  <cp:keywords/>
  <dc:description/>
  <cp:lastModifiedBy>Mike Teachey</cp:lastModifiedBy>
  <cp:revision>4</cp:revision>
  <dcterms:created xsi:type="dcterms:W3CDTF">2015-04-23T12:07:00Z</dcterms:created>
  <dcterms:modified xsi:type="dcterms:W3CDTF">2015-04-23T12:57:00Z</dcterms:modified>
</cp:coreProperties>
</file>